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9</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18906</w:t>
      </w:r>
    </w:p>
    <w:p>
      <w:pPr>
        <w:tabs>
          <w:tab w:val="left" w:pos="3106"/>
          <w:tab w:val="center" w:pos="4536"/>
          <w:tab w:val="right" w:pos="9072"/>
        </w:tabs>
        <w:jc w:val="both"/>
        <w:rPr>
          <w:rFonts w:ascii="Arial" w:hAnsi="Arial" w:cs="Arial"/>
          <w:b/>
          <w:bCs/>
        </w:rPr>
      </w:pPr>
      <w:bookmarkStart w:id="1" w:name="_Hlk130672791"/>
      <w:r>
        <w:rPr>
          <w:rFonts w:hint="eastAsia" w:ascii="Arial" w:hAnsi="Arial" w:eastAsia="宋体" w:cs="Arial"/>
          <w:b/>
          <w:highlight w:val="none"/>
          <w:lang w:val="en-US" w:eastAsia="zh-CN"/>
        </w:rPr>
        <w:t>Chicago, US, November 13 - 17, 2023</w:t>
      </w:r>
    </w:p>
    <w:p>
      <w:pPr>
        <w:tabs>
          <w:tab w:val="left" w:pos="3106"/>
          <w:tab w:val="center" w:pos="4536"/>
          <w:tab w:val="right" w:pos="9072"/>
        </w:tabs>
        <w:jc w:val="both"/>
        <w:rPr>
          <w:rFonts w:ascii="Arial" w:hAnsi="Arial" w:cs="Arial"/>
          <w:b/>
          <w:bCs/>
        </w:rPr>
      </w:pPr>
    </w:p>
    <w:bookmarkEnd w:id="1"/>
    <w:p>
      <w:pPr>
        <w:tabs>
          <w:tab w:val="left" w:pos="1985"/>
        </w:tabs>
        <w:rPr>
          <w:b/>
          <w:sz w:val="22"/>
        </w:rPr>
      </w:pPr>
    </w:p>
    <w:p>
      <w:pPr>
        <w:tabs>
          <w:tab w:val="left" w:pos="1765"/>
          <w:tab w:val="center" w:pos="4557"/>
        </w:tabs>
        <w:rPr>
          <w:b/>
          <w:sz w:val="22"/>
        </w:rPr>
      </w:pPr>
      <w:r>
        <w:rPr>
          <w:b/>
          <w:sz w:val="22"/>
        </w:rPr>
        <w:t>Agenda Item:</w:t>
      </w:r>
      <w:r>
        <w:rPr>
          <w:b/>
          <w:sz w:val="22"/>
        </w:rPr>
        <w:tab/>
      </w:r>
      <w:r>
        <w:rPr>
          <w:rFonts w:hint="eastAsia"/>
          <w:sz w:val="22"/>
          <w:lang w:val="en-US" w:eastAsia="zh-CN"/>
        </w:rPr>
        <w:t>8</w:t>
      </w:r>
      <w:r>
        <w:rPr>
          <w:rFonts w:hint="eastAsia"/>
          <w:sz w:val="22"/>
        </w:rPr>
        <w:t>.13</w:t>
      </w:r>
      <w:r>
        <w:rPr>
          <w:sz w:val="22"/>
        </w:rPr>
        <w:t>.</w:t>
      </w:r>
      <w:r>
        <w:rPr>
          <w:rFonts w:hint="eastAsia"/>
          <w:sz w:val="22"/>
          <w:lang w:val="en-US" w:eastAsia="zh-CN"/>
        </w:rPr>
        <w:t>8</w:t>
      </w:r>
      <w:r>
        <w:rPr>
          <w:sz w:val="22"/>
        </w:rPr>
        <w:t>.2</w:t>
      </w:r>
    </w:p>
    <w:p>
      <w:pPr>
        <w:tabs>
          <w:tab w:val="left" w:pos="1765"/>
        </w:tabs>
        <w:rPr>
          <w:sz w:val="22"/>
        </w:rPr>
      </w:pPr>
      <w:r>
        <w:rPr>
          <w:b/>
          <w:sz w:val="22"/>
        </w:rPr>
        <w:t xml:space="preserve">Source: </w:t>
      </w:r>
      <w:r>
        <w:rPr>
          <w:b/>
          <w:sz w:val="22"/>
        </w:rPr>
        <w:tab/>
      </w:r>
      <w:bookmarkStart w:id="2" w:name="_Hlk41145958"/>
      <w:r>
        <w:rPr>
          <w:sz w:val="22"/>
        </w:rPr>
        <w:t>CMCC</w:t>
      </w:r>
      <w:bookmarkEnd w:id="2"/>
    </w:p>
    <w:p>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Discussion on UE demodulation and CSI requirements for AT</w:t>
      </w:r>
      <w:bookmarkEnd w:id="3"/>
      <w:r>
        <w:rPr>
          <w:sz w:val="22"/>
        </w:rPr>
        <w:t>G scenario</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pStyle w:val="13"/>
        <w:tabs>
          <w:tab w:val="left" w:pos="226"/>
          <w:tab w:val="left" w:pos="284"/>
          <w:tab w:val="left" w:pos="5103"/>
        </w:tabs>
        <w:snapToGrid w:val="0"/>
        <w:spacing w:before="156" w:beforeLines="50"/>
        <w:rPr>
          <w:rFonts w:hint="default" w:eastAsia="宋体"/>
          <w:szCs w:val="20"/>
          <w:lang w:val="en-US" w:eastAsia="zh-CN"/>
        </w:rPr>
      </w:pPr>
      <w:r>
        <w:rPr>
          <w:rFonts w:eastAsia="宋体"/>
          <w:szCs w:val="20"/>
          <w:lang w:val="en-US" w:eastAsia="zh-CN"/>
        </w:rPr>
        <w:t xml:space="preserve">In this contribution, we further </w:t>
      </w:r>
      <w:r>
        <w:rPr>
          <w:rFonts w:hint="eastAsia" w:eastAsia="宋体"/>
          <w:szCs w:val="20"/>
          <w:lang w:val="en-US" w:eastAsia="zh-CN"/>
        </w:rPr>
        <w:t>discuss some PDSCH test setups which are not involved in the discussion before, and the test scope of PDCCH requirements.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_Hlk70326378"/>
      <w:bookmarkStart w:id="7" w:name="OLE_LINK2"/>
      <w:bookmarkStart w:id="8" w:name="OLE_LINK1"/>
      <w:r>
        <w:rPr>
          <w:rFonts w:hint="eastAsia" w:ascii="Times New Roman" w:hAnsi="Times New Roman"/>
          <w:b w:val="0"/>
          <w:bCs w:val="0"/>
          <w:kern w:val="0"/>
          <w:sz w:val="36"/>
          <w:szCs w:val="36"/>
          <w:lang w:val="en-US" w:eastAsia="zh-CN"/>
        </w:rPr>
        <w:t>PDSCH requirements</w:t>
      </w:r>
    </w:p>
    <w:p>
      <w:pPr>
        <w:rPr>
          <w:rFonts w:hint="default"/>
          <w:b/>
          <w:i/>
          <w:iCs/>
          <w:sz w:val="20"/>
          <w:szCs w:val="20"/>
          <w:u w:val="single"/>
          <w:lang w:val="en-US" w:eastAsia="ko-KR"/>
        </w:rPr>
      </w:pPr>
      <w:r>
        <w:rPr>
          <w:rFonts w:hint="eastAsia"/>
          <w:b/>
          <w:i/>
          <w:iCs/>
          <w:sz w:val="20"/>
          <w:szCs w:val="20"/>
          <w:u w:val="single"/>
          <w:lang w:val="en-US" w:eastAsia="zh-CN"/>
        </w:rPr>
        <w:t>EVM assumption</w:t>
      </w:r>
    </w:p>
    <w:p>
      <w:pPr>
        <w:spacing w:before="60"/>
        <w:jc w:val="both"/>
        <w:rPr>
          <w:rFonts w:hint="default"/>
          <w:sz w:val="20"/>
          <w:szCs w:val="20"/>
          <w:lang w:val="en-US" w:eastAsia="zh-CN"/>
        </w:rPr>
      </w:pPr>
      <w:r>
        <w:rPr>
          <w:rFonts w:hint="eastAsia"/>
          <w:sz w:val="20"/>
          <w:szCs w:val="20"/>
          <w:lang w:val="en-US" w:eastAsia="zh-CN"/>
        </w:rPr>
        <w:t>Regarding the Tx EVM, the typical assumption used in RAN4 which is 3% for MCS Table 2 and 6% for MCS Table 1 needs to be considered in ideal results.</w:t>
      </w:r>
    </w:p>
    <w:p>
      <w:pPr>
        <w:spacing w:before="60"/>
        <w:jc w:val="both"/>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1</w:t>
      </w:r>
      <w:r>
        <w:rPr>
          <w:b/>
          <w:bCs/>
          <w:i/>
          <w:iCs/>
          <w:sz w:val="20"/>
          <w:szCs w:val="20"/>
        </w:rPr>
        <w:t xml:space="preserve">: </w:t>
      </w:r>
      <w:r>
        <w:rPr>
          <w:rFonts w:hint="eastAsia"/>
          <w:b/>
          <w:bCs/>
          <w:i/>
          <w:iCs/>
          <w:sz w:val="20"/>
          <w:szCs w:val="20"/>
          <w:lang w:val="en-US" w:eastAsia="zh-CN"/>
        </w:rPr>
        <w:t>For the Tx EVM, 3% for MCS Table 2 and 6% for MCS Table 1 needs to be considered in ideal results.</w:t>
      </w:r>
    </w:p>
    <w:p>
      <w:pPr>
        <w:rPr>
          <w:rFonts w:hint="eastAsia"/>
          <w:b/>
          <w:i/>
          <w:iCs/>
          <w:sz w:val="20"/>
          <w:szCs w:val="20"/>
          <w:u w:val="single"/>
          <w:lang w:val="en-US" w:eastAsia="zh-CN"/>
        </w:rPr>
      </w:pPr>
    </w:p>
    <w:p>
      <w:pPr>
        <w:rPr>
          <w:rFonts w:hint="eastAsia"/>
          <w:b/>
          <w:i/>
          <w:iCs/>
          <w:sz w:val="20"/>
          <w:szCs w:val="20"/>
          <w:u w:val="single"/>
          <w:lang w:val="en-US" w:eastAsia="zh-CN"/>
        </w:rPr>
      </w:pPr>
      <w:r>
        <w:rPr>
          <w:rFonts w:hint="eastAsia"/>
          <w:b/>
          <w:i/>
          <w:iCs/>
          <w:sz w:val="20"/>
          <w:szCs w:val="20"/>
          <w:u w:val="single"/>
          <w:lang w:val="en-US" w:eastAsia="zh-CN"/>
        </w:rPr>
        <w:t>S slot configuration for 30D4S6U</w:t>
      </w:r>
    </w:p>
    <w:p>
      <w:pPr>
        <w:spacing w:before="60"/>
        <w:jc w:val="both"/>
        <w:rPr>
          <w:rFonts w:hint="eastAsia"/>
          <w:sz w:val="20"/>
          <w:szCs w:val="20"/>
          <w:lang w:val="en-US" w:eastAsia="zh-CN"/>
        </w:rPr>
      </w:pPr>
      <w:r>
        <w:rPr>
          <w:rFonts w:hint="eastAsia"/>
          <w:sz w:val="20"/>
          <w:szCs w:val="20"/>
          <w:lang w:val="en-US" w:eastAsia="zh-CN"/>
        </w:rPr>
        <w:t>The 4 slots gap is reserved for preventing DL/UL conflict when the distance between UE and gNB is quite large. For the TDD pattern configuration, we propose all empty S slots, which is 56G.</w:t>
      </w:r>
    </w:p>
    <w:p>
      <w:pPr>
        <w:spacing w:before="60"/>
        <w:jc w:val="both"/>
        <w:rPr>
          <w:rFonts w:hint="default"/>
          <w:b/>
          <w:bCs/>
          <w:i/>
          <w:iCs/>
          <w:sz w:val="20"/>
          <w:szCs w:val="20"/>
          <w:lang w:val="en-US" w:eastAsia="zh-CN"/>
        </w:rPr>
      </w:pPr>
      <w:r>
        <w:rPr>
          <w:rFonts w:hint="eastAsia"/>
          <w:b/>
          <w:bCs/>
          <w:i/>
          <w:iCs/>
          <w:sz w:val="20"/>
          <w:szCs w:val="20"/>
          <w:lang w:val="en-US" w:eastAsia="zh-CN"/>
        </w:rPr>
        <w:t xml:space="preserve">Proposal 2: For </w:t>
      </w:r>
      <w:r>
        <w:rPr>
          <w:rFonts w:hint="eastAsia"/>
          <w:b/>
          <w:bCs/>
          <w:i/>
          <w:iCs/>
          <w:sz w:val="20"/>
          <w:szCs w:val="20"/>
        </w:rPr>
        <w:t>Special Slot Configuration</w:t>
      </w:r>
      <w:r>
        <w:rPr>
          <w:rFonts w:hint="eastAsia"/>
          <w:b/>
          <w:bCs/>
          <w:i/>
          <w:iCs/>
          <w:sz w:val="20"/>
          <w:szCs w:val="20"/>
          <w:lang w:val="en-US" w:eastAsia="zh-CN"/>
        </w:rPr>
        <w:t xml:space="preserve"> of 30D4S6U, use 56G, which means all empty special slots.</w:t>
      </w:r>
    </w:p>
    <w:p>
      <w:pPr>
        <w:rPr>
          <w:rFonts w:hint="default"/>
          <w:b/>
          <w:i/>
          <w:iCs/>
          <w:sz w:val="20"/>
          <w:szCs w:val="20"/>
          <w:u w:val="single"/>
          <w:lang w:val="en-US" w:eastAsia="zh-CN"/>
        </w:rPr>
      </w:pPr>
    </w:p>
    <w:p>
      <w:pPr>
        <w:rPr>
          <w:rFonts w:hint="default"/>
          <w:b/>
          <w:i/>
          <w:iCs/>
          <w:sz w:val="20"/>
          <w:szCs w:val="20"/>
          <w:u w:val="single"/>
          <w:lang w:val="en-US" w:eastAsia="ko-KR"/>
        </w:rPr>
      </w:pPr>
      <w:r>
        <w:rPr>
          <w:rFonts w:hint="eastAsia"/>
          <w:b/>
          <w:i/>
          <w:iCs/>
          <w:sz w:val="20"/>
          <w:szCs w:val="20"/>
          <w:u w:val="single"/>
          <w:lang w:val="en-US" w:eastAsia="zh-CN"/>
        </w:rPr>
        <w:t>Other configurations of new incremental PDSCH requirements</w:t>
      </w:r>
    </w:p>
    <w:p>
      <w:pPr>
        <w:spacing w:before="60"/>
        <w:jc w:val="both"/>
        <w:rPr>
          <w:rFonts w:hint="default"/>
          <w:sz w:val="20"/>
          <w:szCs w:val="20"/>
          <w:lang w:val="en-US" w:eastAsia="zh-CN"/>
        </w:rPr>
      </w:pPr>
      <w:r>
        <w:rPr>
          <w:rFonts w:hint="eastAsia"/>
          <w:sz w:val="20"/>
          <w:szCs w:val="20"/>
          <w:lang w:val="en-US" w:eastAsia="zh-CN"/>
        </w:rPr>
        <w:t>For the parameters which not discussed by RAN4 before, for example, the SSB configuration, TRS configuration and so on, our understanding is to reuse the legacy common configuration, as in Table 5.2-1 in TS 38.101-4.</w:t>
      </w:r>
    </w:p>
    <w:p>
      <w:pPr>
        <w:spacing w:before="60"/>
        <w:jc w:val="both"/>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3</w:t>
      </w:r>
      <w:r>
        <w:rPr>
          <w:b/>
          <w:bCs/>
          <w:i/>
          <w:iCs/>
          <w:sz w:val="20"/>
          <w:szCs w:val="20"/>
        </w:rPr>
        <w:t xml:space="preserve">: </w:t>
      </w:r>
      <w:r>
        <w:rPr>
          <w:rFonts w:hint="eastAsia"/>
          <w:b/>
          <w:bCs/>
          <w:i/>
          <w:iCs/>
          <w:sz w:val="20"/>
          <w:szCs w:val="20"/>
          <w:lang w:val="en-US" w:eastAsia="zh-CN"/>
        </w:rPr>
        <w:t>For the other parameters which not discussed before,  for example, the SSB configuration, TRS configurations and so on, reuse the legacy common configuration, as in Table 5.2-1 in TS 38.101-4.</w:t>
      </w:r>
    </w:p>
    <w:p>
      <w:pPr>
        <w:tabs>
          <w:tab w:val="left" w:pos="7481"/>
        </w:tabs>
        <w:spacing w:before="60"/>
        <w:jc w:val="both"/>
        <w:rPr>
          <w:rFonts w:hint="eastAsia" w:eastAsiaTheme="minorEastAsia"/>
          <w:b/>
          <w:bCs/>
          <w:i/>
          <w:iCs/>
          <w:sz w:val="20"/>
          <w:szCs w:val="20"/>
          <w:lang w:eastAsia="zh-CN"/>
        </w:rPr>
      </w:pPr>
      <w:bookmarkStart w:id="9" w:name="_GoBack"/>
      <w:bookmarkEnd w:id="9"/>
    </w:p>
    <w:p>
      <w:pPr>
        <w:pStyle w:val="2"/>
        <w:numPr>
          <w:ilvl w:val="0"/>
          <w:numId w:val="3"/>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PDCCH requirements</w:t>
      </w:r>
    </w:p>
    <w:p>
      <w:pPr>
        <w:rPr>
          <w:rFonts w:hint="eastAsia"/>
          <w:b/>
          <w:i/>
          <w:iCs/>
          <w:sz w:val="20"/>
          <w:szCs w:val="20"/>
          <w:u w:val="single"/>
          <w:lang w:val="en-US" w:eastAsia="ko-KR"/>
        </w:rPr>
      </w:pPr>
      <w:r>
        <w:rPr>
          <w:rFonts w:hint="eastAsia"/>
          <w:b/>
          <w:i/>
          <w:iCs/>
          <w:sz w:val="20"/>
          <w:szCs w:val="20"/>
          <w:u w:val="single"/>
          <w:lang w:val="en-US" w:eastAsia="ko-KR"/>
        </w:rPr>
        <w:t>Issue 2-</w:t>
      </w:r>
      <w:r>
        <w:rPr>
          <w:rFonts w:hint="eastAsia"/>
          <w:b/>
          <w:i/>
          <w:iCs/>
          <w:sz w:val="20"/>
          <w:szCs w:val="20"/>
          <w:u w:val="single"/>
          <w:lang w:val="en-US" w:eastAsia="zh-CN"/>
        </w:rPr>
        <w:t>1-2</w:t>
      </w:r>
      <w:r>
        <w:rPr>
          <w:rFonts w:hint="eastAsia"/>
          <w:b/>
          <w:i/>
          <w:iCs/>
          <w:sz w:val="20"/>
          <w:szCs w:val="20"/>
          <w:u w:val="single"/>
          <w:lang w:val="en-US" w:eastAsia="ko-KR"/>
        </w:rPr>
        <w:t>: Test scope for PDCCH</w:t>
      </w:r>
    </w:p>
    <w:p>
      <w:pPr>
        <w:spacing w:after="60"/>
        <w:rPr>
          <w:rFonts w:hint="eastAsia" w:eastAsiaTheme="minorEastAsia"/>
          <w:b/>
          <w:bCs/>
          <w:i/>
          <w:iCs/>
          <w:sz w:val="20"/>
          <w:szCs w:val="20"/>
          <w:lang w:val="en-US" w:eastAsia="zh-CN"/>
        </w:rPr>
      </w:pPr>
      <w:r>
        <w:rPr>
          <w:rFonts w:hint="eastAsia" w:eastAsiaTheme="minorEastAsia"/>
          <w:b/>
          <w:bCs/>
          <w:i/>
          <w:iCs/>
          <w:sz w:val="20"/>
          <w:szCs w:val="20"/>
          <w:lang w:val="en-US" w:eastAsia="zh-CN"/>
        </w:rPr>
        <w:t>Agreement:</w:t>
      </w:r>
    </w:p>
    <w:p>
      <w:pPr>
        <w:pStyle w:val="75"/>
        <w:numPr>
          <w:ilvl w:val="0"/>
          <w:numId w:val="4"/>
        </w:numPr>
        <w:spacing w:after="120"/>
        <w:ind w:firstLineChars="0"/>
        <w:rPr>
          <w:rFonts w:hint="eastAsia" w:eastAsia="宋体" w:cs="Times New Roman"/>
          <w:i/>
          <w:iCs/>
          <w:sz w:val="20"/>
          <w:szCs w:val="20"/>
          <w:highlight w:val="none"/>
          <w:lang w:val="en-US" w:eastAsia="zh-CN"/>
        </w:rPr>
      </w:pPr>
      <w:r>
        <w:rPr>
          <w:rFonts w:hint="eastAsia" w:eastAsia="宋体" w:cs="Times New Roman"/>
          <w:i/>
          <w:iCs/>
          <w:sz w:val="20"/>
          <w:szCs w:val="20"/>
          <w:highlight w:val="none"/>
          <w:lang w:val="en-US" w:eastAsia="zh-CN"/>
        </w:rPr>
        <w:t xml:space="preserve">To consider legacy PDCCH requirements for ATG PDCCH requirements to cover all AL. </w:t>
      </w:r>
    </w:p>
    <w:p>
      <w:pPr>
        <w:pStyle w:val="75"/>
        <w:numPr>
          <w:ilvl w:val="0"/>
          <w:numId w:val="4"/>
        </w:numPr>
        <w:spacing w:after="120"/>
        <w:ind w:firstLineChars="0"/>
        <w:rPr>
          <w:rFonts w:hint="eastAsia" w:eastAsia="宋体" w:cs="Times New Roman"/>
          <w:i/>
          <w:iCs/>
          <w:sz w:val="20"/>
          <w:szCs w:val="20"/>
          <w:highlight w:val="none"/>
          <w:lang w:val="en-US" w:eastAsia="zh-CN"/>
        </w:rPr>
      </w:pPr>
      <w:r>
        <w:rPr>
          <w:rFonts w:hint="eastAsia" w:eastAsia="宋体" w:cs="Times New Roman"/>
          <w:i/>
          <w:iCs/>
          <w:sz w:val="20"/>
          <w:szCs w:val="20"/>
          <w:highlight w:val="none"/>
          <w:lang w:val="en-US" w:eastAsia="zh-CN"/>
        </w:rPr>
        <w:t>The following test cases are for down-selection: (if necessary)</w:t>
      </w:r>
    </w:p>
    <w:p>
      <w:pPr>
        <w:pStyle w:val="75"/>
        <w:numPr>
          <w:ilvl w:val="1"/>
          <w:numId w:val="4"/>
        </w:numPr>
        <w:spacing w:after="120"/>
        <w:ind w:left="1656" w:leftChars="0" w:hanging="360" w:firstLineChars="0"/>
        <w:rPr>
          <w:rFonts w:hint="eastAsia" w:eastAsia="宋体" w:cs="Times New Roman"/>
          <w:i/>
          <w:iCs/>
          <w:sz w:val="20"/>
          <w:szCs w:val="20"/>
          <w:highlight w:val="none"/>
          <w:lang w:val="en-US" w:eastAsia="zh-CN"/>
        </w:rPr>
      </w:pPr>
      <w:r>
        <w:rPr>
          <w:rFonts w:hint="eastAsia" w:eastAsia="宋体" w:cs="Times New Roman"/>
          <w:i/>
          <w:iCs/>
          <w:sz w:val="20"/>
          <w:szCs w:val="20"/>
          <w:highlight w:val="none"/>
          <w:lang w:val="en-US" w:eastAsia="zh-CN"/>
        </w:rPr>
        <w:t>1T2R FDD: Test number 1, 3 and 5 in 5.3.2.1.1</w:t>
      </w:r>
    </w:p>
    <w:p>
      <w:pPr>
        <w:pStyle w:val="75"/>
        <w:numPr>
          <w:ilvl w:val="1"/>
          <w:numId w:val="4"/>
        </w:numPr>
        <w:spacing w:after="120"/>
        <w:ind w:left="1656" w:leftChars="0" w:hanging="360" w:firstLineChars="0"/>
        <w:rPr>
          <w:rFonts w:hint="eastAsia" w:eastAsia="宋体" w:cs="Times New Roman"/>
          <w:i/>
          <w:iCs/>
          <w:sz w:val="20"/>
          <w:szCs w:val="20"/>
          <w:highlight w:val="none"/>
          <w:lang w:val="en-US" w:eastAsia="zh-CN"/>
        </w:rPr>
      </w:pPr>
      <w:r>
        <w:rPr>
          <w:rFonts w:hint="eastAsia" w:eastAsia="宋体" w:cs="Times New Roman"/>
          <w:i/>
          <w:iCs/>
          <w:sz w:val="20"/>
          <w:szCs w:val="20"/>
          <w:highlight w:val="none"/>
          <w:lang w:val="en-US" w:eastAsia="zh-CN"/>
        </w:rPr>
        <w:t>2T2R FDD: Test number 3 in 5.3.2.1.2</w:t>
      </w:r>
    </w:p>
    <w:p>
      <w:pPr>
        <w:pStyle w:val="75"/>
        <w:numPr>
          <w:ilvl w:val="1"/>
          <w:numId w:val="4"/>
        </w:numPr>
        <w:spacing w:after="120"/>
        <w:ind w:left="1656" w:leftChars="0" w:hanging="360" w:firstLineChars="0"/>
        <w:rPr>
          <w:rFonts w:hint="eastAsia" w:eastAsia="宋体" w:cs="Times New Roman"/>
          <w:i/>
          <w:iCs/>
          <w:sz w:val="20"/>
          <w:szCs w:val="20"/>
          <w:highlight w:val="none"/>
          <w:lang w:val="en-US" w:eastAsia="zh-CN"/>
        </w:rPr>
      </w:pPr>
      <w:r>
        <w:rPr>
          <w:rFonts w:hint="eastAsia" w:eastAsia="宋体" w:cs="Times New Roman"/>
          <w:i/>
          <w:iCs/>
          <w:sz w:val="20"/>
          <w:szCs w:val="20"/>
          <w:highlight w:val="none"/>
          <w:lang w:val="en-US" w:eastAsia="zh-CN"/>
        </w:rPr>
        <w:t>1T2R TDD: All test cases in 5.3.2.2.1</w:t>
      </w:r>
    </w:p>
    <w:p>
      <w:pPr>
        <w:pStyle w:val="75"/>
        <w:numPr>
          <w:ilvl w:val="1"/>
          <w:numId w:val="4"/>
        </w:numPr>
        <w:spacing w:after="120"/>
        <w:ind w:left="1656" w:leftChars="0" w:hanging="360" w:firstLineChars="0"/>
        <w:rPr>
          <w:rFonts w:hint="eastAsia" w:eastAsia="宋体" w:cs="Times New Roman"/>
          <w:i/>
          <w:iCs/>
          <w:sz w:val="20"/>
          <w:szCs w:val="20"/>
          <w:highlight w:val="none"/>
          <w:lang w:val="en-US" w:eastAsia="zh-CN"/>
        </w:rPr>
      </w:pPr>
      <w:r>
        <w:rPr>
          <w:rFonts w:hint="eastAsia" w:eastAsia="宋体" w:cs="Times New Roman"/>
          <w:i/>
          <w:iCs/>
          <w:sz w:val="20"/>
          <w:szCs w:val="20"/>
          <w:highlight w:val="none"/>
          <w:lang w:val="en-US" w:eastAsia="zh-CN"/>
        </w:rPr>
        <w:t>2T2R TDD: All test cases in 5.3.2.2.2</w:t>
      </w:r>
    </w:p>
    <w:p>
      <w:pPr>
        <w:pStyle w:val="75"/>
        <w:numPr>
          <w:ilvl w:val="1"/>
          <w:numId w:val="4"/>
        </w:numPr>
        <w:spacing w:after="120"/>
        <w:ind w:left="1656" w:leftChars="0" w:hanging="360" w:firstLineChars="0"/>
        <w:rPr>
          <w:rFonts w:hint="eastAsia" w:eastAsia="宋体" w:cs="Times New Roman"/>
          <w:i/>
          <w:iCs/>
          <w:sz w:val="20"/>
          <w:szCs w:val="20"/>
          <w:highlight w:val="none"/>
          <w:lang w:val="en-US" w:eastAsia="zh-CN"/>
        </w:rPr>
      </w:pPr>
      <w:r>
        <w:rPr>
          <w:rFonts w:hint="eastAsia" w:eastAsia="宋体" w:cs="Times New Roman"/>
          <w:i/>
          <w:iCs/>
          <w:sz w:val="20"/>
          <w:szCs w:val="20"/>
          <w:highlight w:val="none"/>
          <w:lang w:val="en-US" w:eastAsia="zh-CN"/>
        </w:rPr>
        <w:t>1T4R FDD: Test number 1, 3 and 5 in 5.3.3.1.1</w:t>
      </w:r>
    </w:p>
    <w:p>
      <w:pPr>
        <w:pStyle w:val="75"/>
        <w:numPr>
          <w:ilvl w:val="1"/>
          <w:numId w:val="4"/>
        </w:numPr>
        <w:spacing w:after="120"/>
        <w:ind w:left="1656" w:leftChars="0" w:hanging="360" w:firstLineChars="0"/>
        <w:rPr>
          <w:rFonts w:hint="eastAsia" w:eastAsia="宋体" w:cs="Times New Roman"/>
          <w:i/>
          <w:iCs/>
          <w:sz w:val="20"/>
          <w:szCs w:val="20"/>
          <w:highlight w:val="none"/>
          <w:lang w:val="en-US" w:eastAsia="zh-CN"/>
        </w:rPr>
      </w:pPr>
      <w:r>
        <w:rPr>
          <w:rFonts w:hint="eastAsia" w:eastAsia="宋体" w:cs="Times New Roman"/>
          <w:i/>
          <w:iCs/>
          <w:sz w:val="20"/>
          <w:szCs w:val="20"/>
          <w:highlight w:val="none"/>
          <w:lang w:val="en-US" w:eastAsia="zh-CN"/>
        </w:rPr>
        <w:t>2T4R FDD: Test number 3 in 5.3.3.1.2</w:t>
      </w:r>
    </w:p>
    <w:p>
      <w:pPr>
        <w:pStyle w:val="75"/>
        <w:numPr>
          <w:ilvl w:val="1"/>
          <w:numId w:val="4"/>
        </w:numPr>
        <w:spacing w:after="120"/>
        <w:ind w:left="1656" w:leftChars="0" w:hanging="360" w:firstLineChars="0"/>
        <w:rPr>
          <w:rFonts w:hint="eastAsia" w:eastAsia="宋体" w:cs="Times New Roman"/>
          <w:i/>
          <w:iCs/>
          <w:sz w:val="20"/>
          <w:szCs w:val="20"/>
          <w:highlight w:val="none"/>
          <w:lang w:val="en-US" w:eastAsia="zh-CN"/>
        </w:rPr>
      </w:pPr>
      <w:r>
        <w:rPr>
          <w:rFonts w:hint="eastAsia" w:eastAsia="宋体" w:cs="Times New Roman"/>
          <w:i/>
          <w:iCs/>
          <w:sz w:val="20"/>
          <w:szCs w:val="20"/>
          <w:highlight w:val="none"/>
          <w:lang w:val="en-US" w:eastAsia="zh-CN"/>
        </w:rPr>
        <w:t>1T4R TDD: All test cases in 5.3.3.2.1</w:t>
      </w:r>
    </w:p>
    <w:p>
      <w:pPr>
        <w:pStyle w:val="75"/>
        <w:numPr>
          <w:ilvl w:val="1"/>
          <w:numId w:val="4"/>
        </w:numPr>
        <w:spacing w:after="120"/>
        <w:ind w:left="1656" w:leftChars="0" w:hanging="360" w:firstLineChars="0"/>
        <w:rPr>
          <w:rFonts w:hint="eastAsia" w:eastAsia="宋体" w:cs="Times New Roman"/>
          <w:i/>
          <w:iCs/>
          <w:sz w:val="20"/>
          <w:szCs w:val="20"/>
          <w:highlight w:val="none"/>
          <w:lang w:val="en-US" w:eastAsia="zh-CN"/>
        </w:rPr>
      </w:pPr>
      <w:r>
        <w:rPr>
          <w:rFonts w:hint="eastAsia" w:eastAsia="宋体" w:cs="Times New Roman"/>
          <w:i/>
          <w:iCs/>
          <w:sz w:val="20"/>
          <w:szCs w:val="20"/>
          <w:highlight w:val="none"/>
          <w:lang w:val="en-US" w:eastAsia="zh-CN"/>
        </w:rPr>
        <w:t>2T4R TDD: All test cases in 5.3.3.2.2</w:t>
      </w:r>
    </w:p>
    <w:p>
      <w:pPr>
        <w:pStyle w:val="75"/>
        <w:numPr>
          <w:ilvl w:val="0"/>
          <w:numId w:val="0"/>
        </w:numPr>
        <w:spacing w:after="120"/>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After checking the test cases listed below, we find that 2R FDD could cover all AL, 2R TDD could cover all AL, 4R FDD could cover all AL, 4R TDD could cover all AL. Therefore, there is no necessity of doing further down-selection.</w:t>
      </w:r>
    </w:p>
    <w:p>
      <w:pPr>
        <w:spacing w:before="60"/>
        <w:jc w:val="both"/>
        <w:rPr>
          <w:rFonts w:hint="eastAsia"/>
          <w:b/>
          <w:bCs/>
          <w:i/>
          <w:iCs/>
          <w:sz w:val="20"/>
          <w:szCs w:val="20"/>
          <w:lang w:val="en-US" w:eastAsia="zh-CN"/>
        </w:rPr>
      </w:pPr>
      <w:r>
        <w:rPr>
          <w:rFonts w:hint="eastAsia"/>
          <w:b/>
          <w:bCs/>
          <w:i/>
          <w:iCs/>
          <w:sz w:val="20"/>
          <w:szCs w:val="20"/>
          <w:lang w:val="en-US" w:eastAsia="zh-CN"/>
        </w:rPr>
        <w:t>Observation 1: Following the PDCCH test cases listed in last meeting</w:t>
      </w:r>
      <w:r>
        <w:rPr>
          <w:rFonts w:hint="default"/>
          <w:b/>
          <w:bCs/>
          <w:i/>
          <w:iCs/>
          <w:sz w:val="20"/>
          <w:szCs w:val="20"/>
          <w:lang w:val="en-US" w:eastAsia="zh-CN"/>
        </w:rPr>
        <w:t>’</w:t>
      </w:r>
      <w:r>
        <w:rPr>
          <w:rFonts w:hint="eastAsia"/>
          <w:b/>
          <w:bCs/>
          <w:i/>
          <w:iCs/>
          <w:sz w:val="20"/>
          <w:szCs w:val="20"/>
          <w:lang w:val="en-US" w:eastAsia="zh-CN"/>
        </w:rPr>
        <w:t xml:space="preserve">s agreement, 2R FDD could cover all AL, 2R TDD could cover all AL, 4R FDD could cover all AL, 4R TDD could cover all AL. </w:t>
      </w:r>
    </w:p>
    <w:p>
      <w:pPr>
        <w:spacing w:before="60"/>
        <w:jc w:val="both"/>
        <w:rPr>
          <w:rFonts w:hint="eastAsia"/>
          <w:b/>
          <w:bCs/>
          <w:i/>
          <w:iCs/>
          <w:sz w:val="20"/>
          <w:szCs w:val="20"/>
          <w:lang w:val="en-US" w:eastAsia="zh-CN"/>
        </w:rPr>
      </w:pPr>
      <w:r>
        <w:rPr>
          <w:rFonts w:hint="eastAsia"/>
          <w:b/>
          <w:bCs/>
          <w:i/>
          <w:iCs/>
          <w:sz w:val="20"/>
          <w:szCs w:val="20"/>
          <w:lang w:val="en-US" w:eastAsia="zh-CN"/>
        </w:rPr>
        <w:t>Proposal 4: Consider following legacy PDCCH test cases for ATG PDCCH requirements</w:t>
      </w:r>
    </w:p>
    <w:p>
      <w:pPr>
        <w:pStyle w:val="75"/>
        <w:keepNext w:val="0"/>
        <w:keepLines w:val="0"/>
        <w:pageBreakBefore w:val="0"/>
        <w:widowControl/>
        <w:numPr>
          <w:ilvl w:val="0"/>
          <w:numId w:val="5"/>
        </w:numPr>
        <w:kinsoku/>
        <w:wordWrap/>
        <w:overflowPunct/>
        <w:topLinePunct w:val="0"/>
        <w:autoSpaceDE/>
        <w:autoSpaceDN/>
        <w:bidi w:val="0"/>
        <w:adjustRightInd/>
        <w:snapToGrid/>
        <w:ind w:left="1260" w:leftChars="0" w:hanging="420" w:firstLineChars="0"/>
        <w:textAlignment w:val="auto"/>
        <w:rPr>
          <w:rFonts w:hint="eastAsia" w:eastAsia="宋体" w:cs="Times New Roman"/>
          <w:b/>
          <w:bCs/>
          <w:i/>
          <w:iCs/>
          <w:sz w:val="20"/>
          <w:szCs w:val="20"/>
          <w:highlight w:val="none"/>
          <w:lang w:val="en-US" w:eastAsia="zh-CN"/>
        </w:rPr>
      </w:pPr>
      <w:r>
        <w:rPr>
          <w:rFonts w:hint="eastAsia" w:eastAsia="宋体" w:cs="Times New Roman"/>
          <w:b/>
          <w:bCs/>
          <w:i/>
          <w:iCs/>
          <w:sz w:val="20"/>
          <w:szCs w:val="20"/>
          <w:highlight w:val="none"/>
          <w:lang w:val="en-US" w:eastAsia="zh-CN"/>
        </w:rPr>
        <w:t>1T2R FDD: Test number 1, 3 and 5 in 5.3.2.1.1</w:t>
      </w:r>
    </w:p>
    <w:p>
      <w:pPr>
        <w:pStyle w:val="75"/>
        <w:keepNext w:val="0"/>
        <w:keepLines w:val="0"/>
        <w:pageBreakBefore w:val="0"/>
        <w:widowControl/>
        <w:numPr>
          <w:ilvl w:val="0"/>
          <w:numId w:val="5"/>
        </w:numPr>
        <w:kinsoku/>
        <w:wordWrap/>
        <w:overflowPunct/>
        <w:topLinePunct w:val="0"/>
        <w:autoSpaceDE/>
        <w:autoSpaceDN/>
        <w:bidi w:val="0"/>
        <w:adjustRightInd/>
        <w:snapToGrid/>
        <w:ind w:left="1260" w:leftChars="0" w:hanging="420" w:firstLineChars="0"/>
        <w:textAlignment w:val="auto"/>
        <w:rPr>
          <w:rFonts w:hint="eastAsia" w:eastAsia="宋体" w:cs="Times New Roman"/>
          <w:b/>
          <w:bCs/>
          <w:i/>
          <w:iCs/>
          <w:sz w:val="20"/>
          <w:szCs w:val="20"/>
          <w:highlight w:val="none"/>
          <w:lang w:val="en-US" w:eastAsia="zh-CN"/>
        </w:rPr>
      </w:pPr>
      <w:r>
        <w:rPr>
          <w:rFonts w:hint="eastAsia" w:eastAsia="宋体" w:cs="Times New Roman"/>
          <w:b/>
          <w:bCs/>
          <w:i/>
          <w:iCs/>
          <w:sz w:val="20"/>
          <w:szCs w:val="20"/>
          <w:highlight w:val="none"/>
          <w:lang w:val="en-US" w:eastAsia="zh-CN"/>
        </w:rPr>
        <w:t>2T2R FDD: Test number 3 in 5.3.2.1.2</w:t>
      </w:r>
    </w:p>
    <w:p>
      <w:pPr>
        <w:pStyle w:val="75"/>
        <w:keepNext w:val="0"/>
        <w:keepLines w:val="0"/>
        <w:pageBreakBefore w:val="0"/>
        <w:widowControl/>
        <w:numPr>
          <w:ilvl w:val="0"/>
          <w:numId w:val="5"/>
        </w:numPr>
        <w:kinsoku/>
        <w:wordWrap/>
        <w:overflowPunct/>
        <w:topLinePunct w:val="0"/>
        <w:autoSpaceDE/>
        <w:autoSpaceDN/>
        <w:bidi w:val="0"/>
        <w:adjustRightInd/>
        <w:snapToGrid/>
        <w:ind w:left="1260" w:leftChars="0" w:hanging="420" w:firstLineChars="0"/>
        <w:textAlignment w:val="auto"/>
        <w:rPr>
          <w:rFonts w:hint="eastAsia" w:eastAsia="宋体" w:cs="Times New Roman"/>
          <w:b/>
          <w:bCs/>
          <w:i/>
          <w:iCs/>
          <w:sz w:val="20"/>
          <w:szCs w:val="20"/>
          <w:highlight w:val="none"/>
          <w:lang w:val="en-US" w:eastAsia="zh-CN"/>
        </w:rPr>
      </w:pPr>
      <w:r>
        <w:rPr>
          <w:rFonts w:hint="eastAsia" w:eastAsia="宋体" w:cs="Times New Roman"/>
          <w:b/>
          <w:bCs/>
          <w:i/>
          <w:iCs/>
          <w:sz w:val="20"/>
          <w:szCs w:val="20"/>
          <w:highlight w:val="none"/>
          <w:lang w:val="en-US" w:eastAsia="zh-CN"/>
        </w:rPr>
        <w:t>1T2R TDD: All test cases in 5.3.2.2.1</w:t>
      </w:r>
    </w:p>
    <w:p>
      <w:pPr>
        <w:pStyle w:val="75"/>
        <w:keepNext w:val="0"/>
        <w:keepLines w:val="0"/>
        <w:pageBreakBefore w:val="0"/>
        <w:widowControl/>
        <w:numPr>
          <w:ilvl w:val="0"/>
          <w:numId w:val="5"/>
        </w:numPr>
        <w:kinsoku/>
        <w:wordWrap/>
        <w:overflowPunct/>
        <w:topLinePunct w:val="0"/>
        <w:autoSpaceDE/>
        <w:autoSpaceDN/>
        <w:bidi w:val="0"/>
        <w:adjustRightInd/>
        <w:snapToGrid/>
        <w:ind w:left="1260" w:leftChars="0" w:hanging="420" w:firstLineChars="0"/>
        <w:textAlignment w:val="auto"/>
        <w:rPr>
          <w:rFonts w:hint="eastAsia" w:eastAsia="宋体" w:cs="Times New Roman"/>
          <w:b/>
          <w:bCs/>
          <w:i/>
          <w:iCs/>
          <w:sz w:val="20"/>
          <w:szCs w:val="20"/>
          <w:highlight w:val="none"/>
          <w:lang w:val="en-US" w:eastAsia="zh-CN"/>
        </w:rPr>
      </w:pPr>
      <w:r>
        <w:rPr>
          <w:rFonts w:hint="eastAsia" w:eastAsia="宋体" w:cs="Times New Roman"/>
          <w:b/>
          <w:bCs/>
          <w:i/>
          <w:iCs/>
          <w:sz w:val="20"/>
          <w:szCs w:val="20"/>
          <w:highlight w:val="none"/>
          <w:lang w:val="en-US" w:eastAsia="zh-CN"/>
        </w:rPr>
        <w:t>2T2R TDD: All test cases in 5.3.2.2.2</w:t>
      </w:r>
    </w:p>
    <w:p>
      <w:pPr>
        <w:pStyle w:val="75"/>
        <w:keepNext w:val="0"/>
        <w:keepLines w:val="0"/>
        <w:pageBreakBefore w:val="0"/>
        <w:widowControl/>
        <w:numPr>
          <w:ilvl w:val="0"/>
          <w:numId w:val="5"/>
        </w:numPr>
        <w:kinsoku/>
        <w:wordWrap/>
        <w:overflowPunct/>
        <w:topLinePunct w:val="0"/>
        <w:autoSpaceDE/>
        <w:autoSpaceDN/>
        <w:bidi w:val="0"/>
        <w:adjustRightInd/>
        <w:snapToGrid/>
        <w:ind w:left="1260" w:leftChars="0" w:hanging="420" w:firstLineChars="0"/>
        <w:textAlignment w:val="auto"/>
        <w:rPr>
          <w:rFonts w:hint="eastAsia" w:eastAsia="宋体" w:cs="Times New Roman"/>
          <w:b/>
          <w:bCs/>
          <w:i/>
          <w:iCs/>
          <w:sz w:val="20"/>
          <w:szCs w:val="20"/>
          <w:highlight w:val="none"/>
          <w:lang w:val="en-US" w:eastAsia="zh-CN"/>
        </w:rPr>
      </w:pPr>
      <w:r>
        <w:rPr>
          <w:rFonts w:hint="eastAsia" w:eastAsia="宋体" w:cs="Times New Roman"/>
          <w:b/>
          <w:bCs/>
          <w:i/>
          <w:iCs/>
          <w:sz w:val="20"/>
          <w:szCs w:val="20"/>
          <w:highlight w:val="none"/>
          <w:lang w:val="en-US" w:eastAsia="zh-CN"/>
        </w:rPr>
        <w:t>1T4R FDD: Test number 1, 3 and 5 in 5.3.3.1.1</w:t>
      </w:r>
    </w:p>
    <w:p>
      <w:pPr>
        <w:pStyle w:val="75"/>
        <w:keepNext w:val="0"/>
        <w:keepLines w:val="0"/>
        <w:pageBreakBefore w:val="0"/>
        <w:widowControl/>
        <w:numPr>
          <w:ilvl w:val="0"/>
          <w:numId w:val="5"/>
        </w:numPr>
        <w:kinsoku/>
        <w:wordWrap/>
        <w:overflowPunct/>
        <w:topLinePunct w:val="0"/>
        <w:autoSpaceDE/>
        <w:autoSpaceDN/>
        <w:bidi w:val="0"/>
        <w:adjustRightInd/>
        <w:snapToGrid/>
        <w:ind w:left="1260" w:leftChars="0" w:hanging="420" w:firstLineChars="0"/>
        <w:textAlignment w:val="auto"/>
        <w:rPr>
          <w:rFonts w:hint="eastAsia" w:eastAsia="宋体" w:cs="Times New Roman"/>
          <w:b/>
          <w:bCs/>
          <w:i/>
          <w:iCs/>
          <w:sz w:val="20"/>
          <w:szCs w:val="20"/>
          <w:highlight w:val="none"/>
          <w:lang w:val="en-US" w:eastAsia="zh-CN"/>
        </w:rPr>
      </w:pPr>
      <w:r>
        <w:rPr>
          <w:rFonts w:hint="eastAsia" w:eastAsia="宋体" w:cs="Times New Roman"/>
          <w:b/>
          <w:bCs/>
          <w:i/>
          <w:iCs/>
          <w:sz w:val="20"/>
          <w:szCs w:val="20"/>
          <w:highlight w:val="none"/>
          <w:lang w:val="en-US" w:eastAsia="zh-CN"/>
        </w:rPr>
        <w:t>2T4R FDD: Test number 3 in 5.3.3.1.2</w:t>
      </w:r>
    </w:p>
    <w:p>
      <w:pPr>
        <w:pStyle w:val="75"/>
        <w:keepNext w:val="0"/>
        <w:keepLines w:val="0"/>
        <w:pageBreakBefore w:val="0"/>
        <w:widowControl/>
        <w:numPr>
          <w:ilvl w:val="0"/>
          <w:numId w:val="5"/>
        </w:numPr>
        <w:kinsoku/>
        <w:wordWrap/>
        <w:overflowPunct/>
        <w:topLinePunct w:val="0"/>
        <w:autoSpaceDE/>
        <w:autoSpaceDN/>
        <w:bidi w:val="0"/>
        <w:adjustRightInd/>
        <w:snapToGrid/>
        <w:ind w:left="1260" w:leftChars="0" w:hanging="420" w:firstLineChars="0"/>
        <w:textAlignment w:val="auto"/>
        <w:rPr>
          <w:rFonts w:hint="eastAsia" w:eastAsia="宋体" w:cs="Times New Roman"/>
          <w:b/>
          <w:bCs/>
          <w:i/>
          <w:iCs/>
          <w:sz w:val="20"/>
          <w:szCs w:val="20"/>
          <w:highlight w:val="none"/>
          <w:lang w:val="en-US" w:eastAsia="zh-CN"/>
        </w:rPr>
      </w:pPr>
      <w:r>
        <w:rPr>
          <w:rFonts w:hint="eastAsia" w:eastAsia="宋体" w:cs="Times New Roman"/>
          <w:b/>
          <w:bCs/>
          <w:i/>
          <w:iCs/>
          <w:sz w:val="20"/>
          <w:szCs w:val="20"/>
          <w:highlight w:val="none"/>
          <w:lang w:val="en-US" w:eastAsia="zh-CN"/>
        </w:rPr>
        <w:t>1T4R TDD: All test cases in 5.3.3.2.1</w:t>
      </w:r>
    </w:p>
    <w:p>
      <w:pPr>
        <w:pStyle w:val="75"/>
        <w:numPr>
          <w:ilvl w:val="0"/>
          <w:numId w:val="5"/>
        </w:numPr>
        <w:spacing w:after="120"/>
        <w:ind w:left="1260" w:leftChars="0" w:hanging="420" w:firstLineChars="0"/>
        <w:rPr>
          <w:rFonts w:eastAsia="宋体"/>
          <w:sz w:val="20"/>
          <w:szCs w:val="20"/>
        </w:rPr>
      </w:pPr>
      <w:r>
        <w:rPr>
          <w:rFonts w:hint="eastAsia" w:eastAsia="宋体" w:cs="Times New Roman"/>
          <w:b/>
          <w:bCs/>
          <w:i/>
          <w:iCs/>
          <w:sz w:val="20"/>
          <w:szCs w:val="20"/>
          <w:highlight w:val="none"/>
          <w:lang w:val="en-US" w:eastAsia="zh-CN"/>
        </w:rPr>
        <w:t>2T4R TDD: All test cases in 5.3.3.2.2</w:t>
      </w: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7"/>
      <w:bookmarkEnd w:id="8"/>
    </w:p>
    <w:p>
      <w:pPr>
        <w:spacing w:before="60"/>
        <w:jc w:val="both"/>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1</w:t>
      </w:r>
      <w:r>
        <w:rPr>
          <w:b/>
          <w:bCs/>
          <w:i/>
          <w:iCs/>
          <w:sz w:val="20"/>
          <w:szCs w:val="20"/>
        </w:rPr>
        <w:t xml:space="preserve">: </w:t>
      </w:r>
      <w:r>
        <w:rPr>
          <w:rFonts w:hint="eastAsia"/>
          <w:b/>
          <w:bCs/>
          <w:i/>
          <w:iCs/>
          <w:sz w:val="20"/>
          <w:szCs w:val="20"/>
          <w:lang w:val="en-US" w:eastAsia="zh-CN"/>
        </w:rPr>
        <w:t>For the Tx EVM, 3% for MCS Table 2 and 6% for MCS Table 1 needs to be considered in ideal results.</w:t>
      </w:r>
    </w:p>
    <w:p>
      <w:pPr>
        <w:spacing w:before="60"/>
        <w:jc w:val="both"/>
        <w:rPr>
          <w:rFonts w:hint="eastAsia"/>
          <w:b/>
          <w:bCs/>
          <w:i/>
          <w:iCs/>
          <w:sz w:val="20"/>
          <w:szCs w:val="20"/>
          <w:lang w:val="en-US" w:eastAsia="zh-CN"/>
        </w:rPr>
      </w:pPr>
      <w:r>
        <w:rPr>
          <w:rFonts w:hint="eastAsia"/>
          <w:b/>
          <w:bCs/>
          <w:i/>
          <w:iCs/>
          <w:sz w:val="20"/>
          <w:szCs w:val="20"/>
          <w:lang w:val="en-US" w:eastAsia="zh-CN"/>
        </w:rPr>
        <w:t xml:space="preserve">Proposal 2: For </w:t>
      </w:r>
      <w:r>
        <w:rPr>
          <w:rFonts w:hint="eastAsia"/>
          <w:b/>
          <w:bCs/>
          <w:i/>
          <w:iCs/>
          <w:sz w:val="20"/>
          <w:szCs w:val="20"/>
        </w:rPr>
        <w:t>Special Slot Configuration</w:t>
      </w:r>
      <w:r>
        <w:rPr>
          <w:rFonts w:hint="eastAsia"/>
          <w:b/>
          <w:bCs/>
          <w:i/>
          <w:iCs/>
          <w:sz w:val="20"/>
          <w:szCs w:val="20"/>
          <w:lang w:val="en-US" w:eastAsia="zh-CN"/>
        </w:rPr>
        <w:t xml:space="preserve"> of 30D4S6U, use 56G, which means all empty special slots.</w:t>
      </w:r>
    </w:p>
    <w:p>
      <w:pPr>
        <w:spacing w:before="60"/>
        <w:jc w:val="both"/>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3</w:t>
      </w:r>
      <w:r>
        <w:rPr>
          <w:b/>
          <w:bCs/>
          <w:i/>
          <w:iCs/>
          <w:sz w:val="20"/>
          <w:szCs w:val="20"/>
        </w:rPr>
        <w:t xml:space="preserve">: </w:t>
      </w:r>
      <w:r>
        <w:rPr>
          <w:rFonts w:hint="eastAsia"/>
          <w:b/>
          <w:bCs/>
          <w:i/>
          <w:iCs/>
          <w:sz w:val="20"/>
          <w:szCs w:val="20"/>
          <w:lang w:val="en-US" w:eastAsia="zh-CN"/>
        </w:rPr>
        <w:t>For the other parameters which not discussed before,  for example, the SSB configuration, TRS configurations and so on, reuse the legacy common configuration, as in Table 5.2-1 in TS 38.101-4.</w:t>
      </w:r>
    </w:p>
    <w:p>
      <w:pPr>
        <w:spacing w:before="60"/>
        <w:jc w:val="both"/>
        <w:rPr>
          <w:rFonts w:hint="eastAsia"/>
          <w:b/>
          <w:bCs/>
          <w:i/>
          <w:iCs/>
          <w:sz w:val="20"/>
          <w:szCs w:val="20"/>
          <w:lang w:val="en-US" w:eastAsia="zh-CN"/>
        </w:rPr>
      </w:pPr>
      <w:r>
        <w:rPr>
          <w:rFonts w:hint="eastAsia"/>
          <w:b/>
          <w:bCs/>
          <w:i/>
          <w:iCs/>
          <w:sz w:val="20"/>
          <w:szCs w:val="20"/>
          <w:lang w:val="en-US" w:eastAsia="zh-CN"/>
        </w:rPr>
        <w:t>Observation 1: Following the PDCCH test cases listed in last meeting</w:t>
      </w:r>
      <w:r>
        <w:rPr>
          <w:rFonts w:hint="default"/>
          <w:b/>
          <w:bCs/>
          <w:i/>
          <w:iCs/>
          <w:sz w:val="20"/>
          <w:szCs w:val="20"/>
          <w:lang w:val="en-US" w:eastAsia="zh-CN"/>
        </w:rPr>
        <w:t>’</w:t>
      </w:r>
      <w:r>
        <w:rPr>
          <w:rFonts w:hint="eastAsia"/>
          <w:b/>
          <w:bCs/>
          <w:i/>
          <w:iCs/>
          <w:sz w:val="20"/>
          <w:szCs w:val="20"/>
          <w:lang w:val="en-US" w:eastAsia="zh-CN"/>
        </w:rPr>
        <w:t xml:space="preserve">s agreement, 2R FDD could cover all AL, 2R TDD could cover all AL, 4R FDD could cover all AL, 4R TDD could cover all AL. </w:t>
      </w:r>
    </w:p>
    <w:p>
      <w:pPr>
        <w:spacing w:before="60"/>
        <w:jc w:val="both"/>
        <w:rPr>
          <w:rFonts w:hint="eastAsia"/>
          <w:b/>
          <w:bCs/>
          <w:i/>
          <w:iCs/>
          <w:sz w:val="20"/>
          <w:szCs w:val="20"/>
          <w:lang w:val="en-US" w:eastAsia="zh-CN"/>
        </w:rPr>
      </w:pPr>
      <w:r>
        <w:rPr>
          <w:rFonts w:hint="eastAsia"/>
          <w:b/>
          <w:bCs/>
          <w:i/>
          <w:iCs/>
          <w:sz w:val="20"/>
          <w:szCs w:val="20"/>
          <w:lang w:val="en-US" w:eastAsia="zh-CN"/>
        </w:rPr>
        <w:t>Proposal 4: Consider following legacy PDCCH test cases for ATG PDCCH requirements</w:t>
      </w:r>
    </w:p>
    <w:p>
      <w:pPr>
        <w:pStyle w:val="75"/>
        <w:keepNext w:val="0"/>
        <w:keepLines w:val="0"/>
        <w:pageBreakBefore w:val="0"/>
        <w:widowControl/>
        <w:numPr>
          <w:ilvl w:val="0"/>
          <w:numId w:val="5"/>
        </w:numPr>
        <w:kinsoku/>
        <w:wordWrap/>
        <w:overflowPunct/>
        <w:topLinePunct w:val="0"/>
        <w:autoSpaceDE/>
        <w:autoSpaceDN/>
        <w:bidi w:val="0"/>
        <w:adjustRightInd/>
        <w:snapToGrid/>
        <w:ind w:left="1260" w:leftChars="0" w:hanging="420" w:firstLineChars="0"/>
        <w:textAlignment w:val="auto"/>
        <w:rPr>
          <w:rFonts w:hint="eastAsia" w:eastAsia="宋体" w:cs="Times New Roman"/>
          <w:b/>
          <w:bCs/>
          <w:i/>
          <w:iCs/>
          <w:sz w:val="20"/>
          <w:szCs w:val="20"/>
          <w:highlight w:val="none"/>
          <w:lang w:val="en-US" w:eastAsia="zh-CN"/>
        </w:rPr>
      </w:pPr>
      <w:r>
        <w:rPr>
          <w:rFonts w:hint="eastAsia" w:eastAsia="宋体" w:cs="Times New Roman"/>
          <w:b/>
          <w:bCs/>
          <w:i/>
          <w:iCs/>
          <w:sz w:val="20"/>
          <w:szCs w:val="20"/>
          <w:highlight w:val="none"/>
          <w:lang w:val="en-US" w:eastAsia="zh-CN"/>
        </w:rPr>
        <w:t>1T2R FDD: Test number 1, 3 and 5 in 5.3.2.1.1</w:t>
      </w:r>
    </w:p>
    <w:p>
      <w:pPr>
        <w:pStyle w:val="75"/>
        <w:keepNext w:val="0"/>
        <w:keepLines w:val="0"/>
        <w:pageBreakBefore w:val="0"/>
        <w:widowControl/>
        <w:numPr>
          <w:ilvl w:val="0"/>
          <w:numId w:val="5"/>
        </w:numPr>
        <w:kinsoku/>
        <w:wordWrap/>
        <w:overflowPunct/>
        <w:topLinePunct w:val="0"/>
        <w:autoSpaceDE/>
        <w:autoSpaceDN/>
        <w:bidi w:val="0"/>
        <w:adjustRightInd/>
        <w:snapToGrid/>
        <w:ind w:left="1260" w:leftChars="0" w:hanging="420" w:firstLineChars="0"/>
        <w:textAlignment w:val="auto"/>
        <w:rPr>
          <w:rFonts w:hint="eastAsia" w:eastAsia="宋体" w:cs="Times New Roman"/>
          <w:b/>
          <w:bCs/>
          <w:i/>
          <w:iCs/>
          <w:sz w:val="20"/>
          <w:szCs w:val="20"/>
          <w:highlight w:val="none"/>
          <w:lang w:val="en-US" w:eastAsia="zh-CN"/>
        </w:rPr>
      </w:pPr>
      <w:r>
        <w:rPr>
          <w:rFonts w:hint="eastAsia" w:eastAsia="宋体" w:cs="Times New Roman"/>
          <w:b/>
          <w:bCs/>
          <w:i/>
          <w:iCs/>
          <w:sz w:val="20"/>
          <w:szCs w:val="20"/>
          <w:highlight w:val="none"/>
          <w:lang w:val="en-US" w:eastAsia="zh-CN"/>
        </w:rPr>
        <w:t>2T2R FDD: Test number 3 in 5.3.2.1.2</w:t>
      </w:r>
    </w:p>
    <w:p>
      <w:pPr>
        <w:pStyle w:val="75"/>
        <w:keepNext w:val="0"/>
        <w:keepLines w:val="0"/>
        <w:pageBreakBefore w:val="0"/>
        <w:widowControl/>
        <w:numPr>
          <w:ilvl w:val="0"/>
          <w:numId w:val="5"/>
        </w:numPr>
        <w:kinsoku/>
        <w:wordWrap/>
        <w:overflowPunct/>
        <w:topLinePunct w:val="0"/>
        <w:autoSpaceDE/>
        <w:autoSpaceDN/>
        <w:bidi w:val="0"/>
        <w:adjustRightInd/>
        <w:snapToGrid/>
        <w:ind w:left="1260" w:leftChars="0" w:hanging="420" w:firstLineChars="0"/>
        <w:textAlignment w:val="auto"/>
        <w:rPr>
          <w:rFonts w:hint="eastAsia" w:eastAsia="宋体" w:cs="Times New Roman"/>
          <w:b/>
          <w:bCs/>
          <w:i/>
          <w:iCs/>
          <w:sz w:val="20"/>
          <w:szCs w:val="20"/>
          <w:highlight w:val="none"/>
          <w:lang w:val="en-US" w:eastAsia="zh-CN"/>
        </w:rPr>
      </w:pPr>
      <w:r>
        <w:rPr>
          <w:rFonts w:hint="eastAsia" w:eastAsia="宋体" w:cs="Times New Roman"/>
          <w:b/>
          <w:bCs/>
          <w:i/>
          <w:iCs/>
          <w:sz w:val="20"/>
          <w:szCs w:val="20"/>
          <w:highlight w:val="none"/>
          <w:lang w:val="en-US" w:eastAsia="zh-CN"/>
        </w:rPr>
        <w:t>1T2R TDD: All test cases in 5.3.2.2.1</w:t>
      </w:r>
    </w:p>
    <w:p>
      <w:pPr>
        <w:pStyle w:val="75"/>
        <w:keepNext w:val="0"/>
        <w:keepLines w:val="0"/>
        <w:pageBreakBefore w:val="0"/>
        <w:widowControl/>
        <w:numPr>
          <w:ilvl w:val="0"/>
          <w:numId w:val="5"/>
        </w:numPr>
        <w:kinsoku/>
        <w:wordWrap/>
        <w:overflowPunct/>
        <w:topLinePunct w:val="0"/>
        <w:autoSpaceDE/>
        <w:autoSpaceDN/>
        <w:bidi w:val="0"/>
        <w:adjustRightInd/>
        <w:snapToGrid/>
        <w:ind w:left="1260" w:leftChars="0" w:hanging="420" w:firstLineChars="0"/>
        <w:textAlignment w:val="auto"/>
        <w:rPr>
          <w:rFonts w:hint="eastAsia" w:eastAsia="宋体" w:cs="Times New Roman"/>
          <w:b/>
          <w:bCs/>
          <w:i/>
          <w:iCs/>
          <w:sz w:val="20"/>
          <w:szCs w:val="20"/>
          <w:highlight w:val="none"/>
          <w:lang w:val="en-US" w:eastAsia="zh-CN"/>
        </w:rPr>
      </w:pPr>
      <w:r>
        <w:rPr>
          <w:rFonts w:hint="eastAsia" w:eastAsia="宋体" w:cs="Times New Roman"/>
          <w:b/>
          <w:bCs/>
          <w:i/>
          <w:iCs/>
          <w:sz w:val="20"/>
          <w:szCs w:val="20"/>
          <w:highlight w:val="none"/>
          <w:lang w:val="en-US" w:eastAsia="zh-CN"/>
        </w:rPr>
        <w:t>2T2R TDD: All test cases in 5.3.2.2.2</w:t>
      </w:r>
    </w:p>
    <w:p>
      <w:pPr>
        <w:pStyle w:val="75"/>
        <w:keepNext w:val="0"/>
        <w:keepLines w:val="0"/>
        <w:pageBreakBefore w:val="0"/>
        <w:widowControl/>
        <w:numPr>
          <w:ilvl w:val="0"/>
          <w:numId w:val="5"/>
        </w:numPr>
        <w:kinsoku/>
        <w:wordWrap/>
        <w:overflowPunct/>
        <w:topLinePunct w:val="0"/>
        <w:autoSpaceDE/>
        <w:autoSpaceDN/>
        <w:bidi w:val="0"/>
        <w:adjustRightInd/>
        <w:snapToGrid/>
        <w:ind w:left="1260" w:leftChars="0" w:hanging="420" w:firstLineChars="0"/>
        <w:textAlignment w:val="auto"/>
        <w:rPr>
          <w:rFonts w:hint="eastAsia" w:eastAsia="宋体" w:cs="Times New Roman"/>
          <w:b/>
          <w:bCs/>
          <w:i/>
          <w:iCs/>
          <w:sz w:val="20"/>
          <w:szCs w:val="20"/>
          <w:highlight w:val="none"/>
          <w:lang w:val="en-US" w:eastAsia="zh-CN"/>
        </w:rPr>
      </w:pPr>
      <w:r>
        <w:rPr>
          <w:rFonts w:hint="eastAsia" w:eastAsia="宋体" w:cs="Times New Roman"/>
          <w:b/>
          <w:bCs/>
          <w:i/>
          <w:iCs/>
          <w:sz w:val="20"/>
          <w:szCs w:val="20"/>
          <w:highlight w:val="none"/>
          <w:lang w:val="en-US" w:eastAsia="zh-CN"/>
        </w:rPr>
        <w:t>1T4R FDD: Test number 1, 3 and 5 in 5.3.3.1.1</w:t>
      </w:r>
    </w:p>
    <w:p>
      <w:pPr>
        <w:pStyle w:val="75"/>
        <w:keepNext w:val="0"/>
        <w:keepLines w:val="0"/>
        <w:pageBreakBefore w:val="0"/>
        <w:widowControl/>
        <w:numPr>
          <w:ilvl w:val="0"/>
          <w:numId w:val="5"/>
        </w:numPr>
        <w:kinsoku/>
        <w:wordWrap/>
        <w:overflowPunct/>
        <w:topLinePunct w:val="0"/>
        <w:autoSpaceDE/>
        <w:autoSpaceDN/>
        <w:bidi w:val="0"/>
        <w:adjustRightInd/>
        <w:snapToGrid/>
        <w:ind w:left="1260" w:leftChars="0" w:hanging="420" w:firstLineChars="0"/>
        <w:textAlignment w:val="auto"/>
        <w:rPr>
          <w:rFonts w:hint="eastAsia" w:eastAsia="宋体" w:cs="Times New Roman"/>
          <w:b/>
          <w:bCs/>
          <w:i/>
          <w:iCs/>
          <w:sz w:val="20"/>
          <w:szCs w:val="20"/>
          <w:highlight w:val="none"/>
          <w:lang w:val="en-US" w:eastAsia="zh-CN"/>
        </w:rPr>
      </w:pPr>
      <w:r>
        <w:rPr>
          <w:rFonts w:hint="eastAsia" w:eastAsia="宋体" w:cs="Times New Roman"/>
          <w:b/>
          <w:bCs/>
          <w:i/>
          <w:iCs/>
          <w:sz w:val="20"/>
          <w:szCs w:val="20"/>
          <w:highlight w:val="none"/>
          <w:lang w:val="en-US" w:eastAsia="zh-CN"/>
        </w:rPr>
        <w:t>2T4R FDD: Test number 3 in 5.3.3.1.2</w:t>
      </w:r>
    </w:p>
    <w:p>
      <w:pPr>
        <w:pStyle w:val="75"/>
        <w:keepNext w:val="0"/>
        <w:keepLines w:val="0"/>
        <w:pageBreakBefore w:val="0"/>
        <w:widowControl/>
        <w:numPr>
          <w:ilvl w:val="0"/>
          <w:numId w:val="5"/>
        </w:numPr>
        <w:kinsoku/>
        <w:wordWrap/>
        <w:overflowPunct/>
        <w:topLinePunct w:val="0"/>
        <w:autoSpaceDE/>
        <w:autoSpaceDN/>
        <w:bidi w:val="0"/>
        <w:adjustRightInd/>
        <w:snapToGrid/>
        <w:ind w:left="1260" w:leftChars="0" w:hanging="420" w:firstLineChars="0"/>
        <w:textAlignment w:val="auto"/>
        <w:rPr>
          <w:rFonts w:hint="eastAsia" w:eastAsia="宋体" w:cs="Times New Roman"/>
          <w:b/>
          <w:bCs/>
          <w:i/>
          <w:iCs/>
          <w:sz w:val="20"/>
          <w:szCs w:val="20"/>
          <w:highlight w:val="none"/>
          <w:lang w:val="en-US" w:eastAsia="zh-CN"/>
        </w:rPr>
      </w:pPr>
      <w:r>
        <w:rPr>
          <w:rFonts w:hint="eastAsia" w:eastAsia="宋体" w:cs="Times New Roman"/>
          <w:b/>
          <w:bCs/>
          <w:i/>
          <w:iCs/>
          <w:sz w:val="20"/>
          <w:szCs w:val="20"/>
          <w:highlight w:val="none"/>
          <w:lang w:val="en-US" w:eastAsia="zh-CN"/>
        </w:rPr>
        <w:t>1T4R TDD: All test cases in 5.3.3.2.1</w:t>
      </w:r>
    </w:p>
    <w:p>
      <w:pPr>
        <w:pStyle w:val="75"/>
        <w:numPr>
          <w:ilvl w:val="0"/>
          <w:numId w:val="5"/>
        </w:numPr>
        <w:spacing w:after="120"/>
        <w:ind w:left="1260" w:leftChars="0" w:hanging="420" w:firstLineChars="0"/>
        <w:rPr>
          <w:rFonts w:eastAsia="宋体"/>
          <w:sz w:val="20"/>
          <w:szCs w:val="20"/>
        </w:rPr>
      </w:pPr>
      <w:r>
        <w:rPr>
          <w:rFonts w:hint="eastAsia" w:eastAsia="宋体" w:cs="Times New Roman"/>
          <w:b/>
          <w:bCs/>
          <w:i/>
          <w:iCs/>
          <w:sz w:val="20"/>
          <w:szCs w:val="20"/>
          <w:highlight w:val="none"/>
          <w:lang w:val="en-US" w:eastAsia="zh-CN"/>
        </w:rPr>
        <w:t>2T4R TDD: All test cases in 5.3.3.2.2</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sz w:val="20"/>
          <w:szCs w:val="20"/>
          <w:lang w:val="en-GB"/>
        </w:rPr>
      </w:pPr>
      <w:r>
        <w:rPr>
          <w:rFonts w:hint="eastAsia"/>
          <w:sz w:val="20"/>
          <w:szCs w:val="20"/>
          <w:lang w:val="en-GB"/>
        </w:rPr>
        <w:t>[</w:t>
      </w:r>
      <w:r>
        <w:rPr>
          <w:sz w:val="20"/>
          <w:szCs w:val="20"/>
          <w:lang w:val="en-GB"/>
        </w:rPr>
        <w:t xml:space="preserve">1] </w:t>
      </w:r>
      <w:r>
        <w:rPr>
          <w:rFonts w:hint="eastAsia"/>
          <w:sz w:val="20"/>
          <w:szCs w:val="20"/>
          <w:lang w:val="en-GB"/>
        </w:rPr>
        <w:t>R4-2316991</w:t>
      </w:r>
      <w:r>
        <w:rPr>
          <w:sz w:val="20"/>
          <w:szCs w:val="20"/>
          <w:lang w:val="en-GB"/>
        </w:rPr>
        <w:t xml:space="preserve">, </w:t>
      </w:r>
      <w:r>
        <w:rPr>
          <w:rFonts w:hint="eastAsia"/>
          <w:sz w:val="20"/>
          <w:szCs w:val="20"/>
          <w:lang w:val="en-GB"/>
        </w:rPr>
        <w:t>WF on NR_ATG_Demod</w:t>
      </w:r>
      <w:r>
        <w:rPr>
          <w:sz w:val="20"/>
          <w:szCs w:val="20"/>
          <w:lang w:val="en-GB"/>
        </w:rPr>
        <w:t>, CMCC</w:t>
      </w:r>
    </w:p>
    <w:p>
      <w:pPr>
        <w:rPr>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9097EA6"/>
    <w:multiLevelType w:val="singleLevel"/>
    <w:tmpl w:val="79097EA6"/>
    <w:lvl w:ilvl="0" w:tentative="0">
      <w:start w:val="1"/>
      <w:numFmt w:val="bullet"/>
      <w:lvlText w:val=""/>
      <w:lvlJc w:val="left"/>
      <w:pPr>
        <w:tabs>
          <w:tab w:val="left" w:pos="840"/>
        </w:tabs>
        <w:ind w:left="1260" w:hanging="420"/>
      </w:pPr>
      <w:rPr>
        <w:rFonts w:hint="default" w:ascii="Wingdings" w:hAnsi="Wingdings"/>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5NjVlZjdjZDdmYTAxNzEyYjA5NGY0NTVhZTIzMmQifQ=="/>
  </w:docVars>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A50"/>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4A2"/>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2E13"/>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372"/>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CF"/>
    <w:rsid w:val="00D969E6"/>
    <w:rsid w:val="00D96F57"/>
    <w:rsid w:val="00D97752"/>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24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540"/>
    <w:rsid w:val="00EA07CA"/>
    <w:rsid w:val="00EA0C79"/>
    <w:rsid w:val="00EA0C89"/>
    <w:rsid w:val="00EA1040"/>
    <w:rsid w:val="00EA139E"/>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3E"/>
    <w:rsid w:val="00EC5A8A"/>
    <w:rsid w:val="00EC6105"/>
    <w:rsid w:val="00EC67D1"/>
    <w:rsid w:val="00EC6FE2"/>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883"/>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5371AEA"/>
    <w:rsid w:val="05A66643"/>
    <w:rsid w:val="06556B6D"/>
    <w:rsid w:val="0AC523FC"/>
    <w:rsid w:val="0E186331"/>
    <w:rsid w:val="0E712F8F"/>
    <w:rsid w:val="0F046751"/>
    <w:rsid w:val="0F102E43"/>
    <w:rsid w:val="0FF7208E"/>
    <w:rsid w:val="11033B7B"/>
    <w:rsid w:val="14163694"/>
    <w:rsid w:val="146C3E03"/>
    <w:rsid w:val="14D157D9"/>
    <w:rsid w:val="14F96660"/>
    <w:rsid w:val="16A22E81"/>
    <w:rsid w:val="17C37645"/>
    <w:rsid w:val="197054DD"/>
    <w:rsid w:val="1A9B113B"/>
    <w:rsid w:val="1BC47F71"/>
    <w:rsid w:val="1CBA4282"/>
    <w:rsid w:val="1D90304C"/>
    <w:rsid w:val="1F12659C"/>
    <w:rsid w:val="1F313E8F"/>
    <w:rsid w:val="253C5FC6"/>
    <w:rsid w:val="26415E8B"/>
    <w:rsid w:val="26603ADE"/>
    <w:rsid w:val="27634BFC"/>
    <w:rsid w:val="2B102FB5"/>
    <w:rsid w:val="2B903A67"/>
    <w:rsid w:val="2BAA6D2E"/>
    <w:rsid w:val="2E0D696C"/>
    <w:rsid w:val="2EED2478"/>
    <w:rsid w:val="31355628"/>
    <w:rsid w:val="334B6B19"/>
    <w:rsid w:val="33703B64"/>
    <w:rsid w:val="340103A4"/>
    <w:rsid w:val="3419419A"/>
    <w:rsid w:val="344304A4"/>
    <w:rsid w:val="366663B9"/>
    <w:rsid w:val="37A54E02"/>
    <w:rsid w:val="37C01BB6"/>
    <w:rsid w:val="390D1E36"/>
    <w:rsid w:val="39524D08"/>
    <w:rsid w:val="3DA21F07"/>
    <w:rsid w:val="3ECB165B"/>
    <w:rsid w:val="41640B6F"/>
    <w:rsid w:val="41BC57E8"/>
    <w:rsid w:val="42890E73"/>
    <w:rsid w:val="45525DCB"/>
    <w:rsid w:val="468E1D90"/>
    <w:rsid w:val="47977DC1"/>
    <w:rsid w:val="49E956A5"/>
    <w:rsid w:val="4AB20CDE"/>
    <w:rsid w:val="4B3A564E"/>
    <w:rsid w:val="4BF04B6E"/>
    <w:rsid w:val="4C0737F9"/>
    <w:rsid w:val="4CC53C01"/>
    <w:rsid w:val="4E7523D8"/>
    <w:rsid w:val="50ED2B10"/>
    <w:rsid w:val="52430208"/>
    <w:rsid w:val="53627425"/>
    <w:rsid w:val="547B4054"/>
    <w:rsid w:val="54EA0C76"/>
    <w:rsid w:val="56382454"/>
    <w:rsid w:val="56911ADB"/>
    <w:rsid w:val="580031EB"/>
    <w:rsid w:val="59CE1386"/>
    <w:rsid w:val="5A5011B5"/>
    <w:rsid w:val="5C5730D0"/>
    <w:rsid w:val="60FF6A8E"/>
    <w:rsid w:val="635C1D12"/>
    <w:rsid w:val="63C713C1"/>
    <w:rsid w:val="6403086A"/>
    <w:rsid w:val="684073FF"/>
    <w:rsid w:val="6B565159"/>
    <w:rsid w:val="6C207807"/>
    <w:rsid w:val="6EDA5016"/>
    <w:rsid w:val="70DA470E"/>
    <w:rsid w:val="716E2807"/>
    <w:rsid w:val="72F43441"/>
    <w:rsid w:val="73267581"/>
    <w:rsid w:val="73493135"/>
    <w:rsid w:val="740E5707"/>
    <w:rsid w:val="767222C3"/>
    <w:rsid w:val="77107C7C"/>
    <w:rsid w:val="793B0674"/>
    <w:rsid w:val="7A235449"/>
    <w:rsid w:val="7B9D74A9"/>
    <w:rsid w:val="7BF15665"/>
    <w:rsid w:val="7FAD724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1640</Words>
  <Characters>9349</Characters>
  <Lines>77</Lines>
  <Paragraphs>21</Paragraphs>
  <TotalTime>3</TotalTime>
  <ScaleCrop>false</ScaleCrop>
  <LinksUpToDate>false</LinksUpToDate>
  <CharactersWithSpaces>10968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2023-11-03T02:27:21Z</dcterms:modified>
  <cp:revision>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BEA6750F416241ABBA597CD796285EF6</vt:lpwstr>
  </property>
</Properties>
</file>